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52C79C37" w14:textId="0A303C2D" w:rsidR="000A2833" w:rsidRPr="00455A3C" w:rsidRDefault="00E10832" w:rsidP="00F60A53">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011522">
        <w:t>5</w:t>
      </w:r>
      <w:r w:rsidR="005420B4">
        <w:t>.</w:t>
      </w:r>
      <w:r w:rsidR="00F60A53">
        <w:t xml:space="preserve"> </w:t>
      </w:r>
      <w:r w:rsidR="000F274E">
        <w:t>ledna</w:t>
      </w:r>
      <w:r w:rsidR="00A30105" w:rsidRPr="00455A3C">
        <w:t xml:space="preserve"> 20</w:t>
      </w:r>
      <w:r w:rsidR="00A7414F" w:rsidRPr="00455A3C">
        <w:t>2</w:t>
      </w:r>
      <w:r w:rsidR="000F274E">
        <w:t>3</w:t>
      </w:r>
    </w:p>
    <w:p w14:paraId="4EC0D461" w14:textId="77777777" w:rsidR="000C727D" w:rsidRDefault="000C727D" w:rsidP="00F60A53">
      <w:pPr>
        <w:spacing w:after="120" w:line="276" w:lineRule="auto"/>
        <w:rPr>
          <w:b/>
          <w:sz w:val="28"/>
          <w:szCs w:val="28"/>
        </w:rPr>
      </w:pPr>
    </w:p>
    <w:p w14:paraId="56A06461" w14:textId="46CE3CBE" w:rsidR="00303102" w:rsidRDefault="00B60A84" w:rsidP="00F60A53">
      <w:pPr>
        <w:spacing w:after="120" w:line="276" w:lineRule="auto"/>
        <w:rPr>
          <w:b/>
          <w:sz w:val="28"/>
          <w:szCs w:val="28"/>
        </w:rPr>
      </w:pPr>
      <w:proofErr w:type="spellStart"/>
      <w:r>
        <w:rPr>
          <w:b/>
          <w:sz w:val="28"/>
          <w:szCs w:val="28"/>
        </w:rPr>
        <w:t>Fidelity</w:t>
      </w:r>
      <w:proofErr w:type="spellEnd"/>
      <w:r w:rsidR="001F2E96">
        <w:rPr>
          <w:b/>
          <w:sz w:val="28"/>
          <w:szCs w:val="28"/>
        </w:rPr>
        <w:t xml:space="preserve"> </w:t>
      </w:r>
      <w:r>
        <w:rPr>
          <w:b/>
          <w:sz w:val="28"/>
          <w:szCs w:val="28"/>
        </w:rPr>
        <w:t>International</w:t>
      </w:r>
      <w:r w:rsidR="001F2E96">
        <w:rPr>
          <w:b/>
          <w:sz w:val="28"/>
          <w:szCs w:val="28"/>
        </w:rPr>
        <w:t xml:space="preserve"> získala podnikatelské oprávnění pro podílové fondy v Číně</w:t>
      </w:r>
    </w:p>
    <w:p w14:paraId="5A06E3AC" w14:textId="0905C95B" w:rsidR="00770E04" w:rsidRPr="00770E04" w:rsidRDefault="00770E04" w:rsidP="00770E04">
      <w:pPr>
        <w:spacing w:after="240" w:line="276" w:lineRule="auto"/>
        <w:rPr>
          <w:rFonts w:asciiTheme="minorHAnsi" w:eastAsiaTheme="minorHAnsi" w:hAnsiTheme="minorHAnsi" w:cstheme="minorBidi"/>
          <w:b/>
          <w:sz w:val="24"/>
          <w:szCs w:val="24"/>
          <w:lang w:eastAsia="en-US"/>
        </w:rPr>
      </w:pPr>
      <w:r w:rsidRPr="00770E04">
        <w:rPr>
          <w:rFonts w:asciiTheme="minorHAnsi" w:eastAsiaTheme="minorHAnsi" w:hAnsiTheme="minorHAnsi" w:cstheme="minorBidi"/>
          <w:b/>
          <w:sz w:val="24"/>
          <w:szCs w:val="24"/>
          <w:lang w:eastAsia="en-US"/>
        </w:rPr>
        <w:t xml:space="preserve">Společnost </w:t>
      </w:r>
      <w:proofErr w:type="spellStart"/>
      <w:r w:rsidRPr="00770E04">
        <w:rPr>
          <w:rFonts w:asciiTheme="minorHAnsi" w:eastAsiaTheme="minorHAnsi" w:hAnsiTheme="minorHAnsi" w:cstheme="minorBidi"/>
          <w:b/>
          <w:sz w:val="24"/>
          <w:szCs w:val="24"/>
          <w:lang w:eastAsia="en-US"/>
        </w:rPr>
        <w:t>Fidelity</w:t>
      </w:r>
      <w:proofErr w:type="spellEnd"/>
      <w:r w:rsidRPr="00770E04">
        <w:rPr>
          <w:rFonts w:asciiTheme="minorHAnsi" w:eastAsiaTheme="minorHAnsi" w:hAnsiTheme="minorHAnsi" w:cstheme="minorBidi"/>
          <w:b/>
          <w:sz w:val="24"/>
          <w:szCs w:val="24"/>
          <w:lang w:eastAsia="en-US"/>
        </w:rPr>
        <w:t xml:space="preserve"> International oznamuje, že společnosti (WFOE) FIL </w:t>
      </w:r>
      <w:proofErr w:type="spellStart"/>
      <w:r w:rsidRPr="00770E04">
        <w:rPr>
          <w:rFonts w:asciiTheme="minorHAnsi" w:eastAsiaTheme="minorHAnsi" w:hAnsiTheme="minorHAnsi" w:cstheme="minorBidi"/>
          <w:b/>
          <w:sz w:val="24"/>
          <w:szCs w:val="24"/>
          <w:lang w:eastAsia="en-US"/>
        </w:rPr>
        <w:t>Fund</w:t>
      </w:r>
      <w:proofErr w:type="spellEnd"/>
      <w:r w:rsidRPr="00770E04">
        <w:rPr>
          <w:rFonts w:asciiTheme="minorHAnsi" w:eastAsiaTheme="minorHAnsi" w:hAnsiTheme="minorHAnsi" w:cstheme="minorBidi"/>
          <w:b/>
          <w:sz w:val="24"/>
          <w:szCs w:val="24"/>
          <w:lang w:eastAsia="en-US"/>
        </w:rPr>
        <w:t xml:space="preserve"> Management (</w:t>
      </w:r>
      <w:proofErr w:type="spellStart"/>
      <w:r w:rsidRPr="00770E04">
        <w:rPr>
          <w:rFonts w:asciiTheme="minorHAnsi" w:eastAsiaTheme="minorHAnsi" w:hAnsiTheme="minorHAnsi" w:cstheme="minorBidi"/>
          <w:b/>
          <w:sz w:val="24"/>
          <w:szCs w:val="24"/>
          <w:lang w:eastAsia="en-US"/>
        </w:rPr>
        <w:t>China</w:t>
      </w:r>
      <w:proofErr w:type="spellEnd"/>
      <w:r w:rsidRPr="00770E04">
        <w:rPr>
          <w:rFonts w:asciiTheme="minorHAnsi" w:eastAsiaTheme="minorHAnsi" w:hAnsiTheme="minorHAnsi" w:cstheme="minorBidi"/>
          <w:b/>
          <w:sz w:val="24"/>
          <w:szCs w:val="24"/>
          <w:lang w:eastAsia="en-US"/>
        </w:rPr>
        <w:t xml:space="preserve">) </w:t>
      </w:r>
      <w:proofErr w:type="spellStart"/>
      <w:r w:rsidRPr="00770E04">
        <w:rPr>
          <w:rFonts w:asciiTheme="minorHAnsi" w:eastAsiaTheme="minorHAnsi" w:hAnsiTheme="minorHAnsi" w:cstheme="minorBidi"/>
          <w:b/>
          <w:sz w:val="24"/>
          <w:szCs w:val="24"/>
          <w:lang w:eastAsia="en-US"/>
        </w:rPr>
        <w:t>Company</w:t>
      </w:r>
      <w:proofErr w:type="spellEnd"/>
      <w:r w:rsidRPr="00770E04">
        <w:rPr>
          <w:rFonts w:asciiTheme="minorHAnsi" w:eastAsiaTheme="minorHAnsi" w:hAnsiTheme="minorHAnsi" w:cstheme="minorBidi"/>
          <w:b/>
          <w:sz w:val="24"/>
          <w:szCs w:val="24"/>
          <w:lang w:eastAsia="en-US"/>
        </w:rPr>
        <w:t xml:space="preserve"> Limited, která je její stoprocentní dceřinou společností, bylo Čínskou komisí pro cenné papíry (CSRC) uděleno povolení k provozování obchodů s cennými papíry a futures v Číně. Společnost </w:t>
      </w:r>
      <w:proofErr w:type="spellStart"/>
      <w:r w:rsidRPr="00770E04">
        <w:rPr>
          <w:rFonts w:asciiTheme="minorHAnsi" w:eastAsiaTheme="minorHAnsi" w:hAnsiTheme="minorHAnsi" w:cstheme="minorBidi"/>
          <w:b/>
          <w:sz w:val="24"/>
          <w:szCs w:val="24"/>
          <w:lang w:eastAsia="en-US"/>
        </w:rPr>
        <w:t>Fidelity</w:t>
      </w:r>
      <w:proofErr w:type="spellEnd"/>
      <w:r w:rsidRPr="00770E04">
        <w:rPr>
          <w:rFonts w:asciiTheme="minorHAnsi" w:eastAsiaTheme="minorHAnsi" w:hAnsiTheme="minorHAnsi" w:cstheme="minorBidi"/>
          <w:b/>
          <w:sz w:val="24"/>
          <w:szCs w:val="24"/>
          <w:lang w:eastAsia="en-US"/>
        </w:rPr>
        <w:t xml:space="preserve"> International se tak stala jedním z prvních globálních správců aktiv, kterým se podařilo založit stoprocentně zahraničně vlastněnou dceřinou sp</w:t>
      </w:r>
      <w:r w:rsidR="004F68C0">
        <w:rPr>
          <w:rFonts w:asciiTheme="minorHAnsi" w:eastAsiaTheme="minorHAnsi" w:hAnsiTheme="minorHAnsi" w:cstheme="minorBidi"/>
          <w:b/>
          <w:sz w:val="24"/>
          <w:szCs w:val="24"/>
          <w:lang w:eastAsia="en-US"/>
        </w:rPr>
        <w:t>o</w:t>
      </w:r>
      <w:r w:rsidRPr="00770E04">
        <w:rPr>
          <w:rFonts w:asciiTheme="minorHAnsi" w:eastAsiaTheme="minorHAnsi" w:hAnsiTheme="minorHAnsi" w:cstheme="minorBidi"/>
          <w:b/>
          <w:sz w:val="24"/>
          <w:szCs w:val="24"/>
          <w:lang w:eastAsia="en-US"/>
        </w:rPr>
        <w:t>lečnost s povolením nabízet a prodávat podílové fondy na pevninské Číně.</w:t>
      </w:r>
    </w:p>
    <w:p w14:paraId="62CF3E4F" w14:textId="77777777" w:rsidR="00770E04" w:rsidRPr="00770E04" w:rsidRDefault="00770E04" w:rsidP="00770E04">
      <w:pPr>
        <w:spacing w:after="240" w:line="360" w:lineRule="auto"/>
        <w:rPr>
          <w:color w:val="000000" w:themeColor="text1"/>
        </w:rPr>
      </w:pPr>
      <w:r w:rsidRPr="00770E04">
        <w:rPr>
          <w:color w:val="000000" w:themeColor="text1"/>
        </w:rPr>
        <w:t xml:space="preserve">Společnost </w:t>
      </w:r>
      <w:proofErr w:type="spellStart"/>
      <w:r w:rsidRPr="00770E04">
        <w:rPr>
          <w:color w:val="000000" w:themeColor="text1"/>
        </w:rPr>
        <w:t>Fidelity</w:t>
      </w:r>
      <w:proofErr w:type="spellEnd"/>
      <w:r w:rsidRPr="00770E04">
        <w:rPr>
          <w:color w:val="000000" w:themeColor="text1"/>
        </w:rPr>
        <w:t xml:space="preserve"> International nyní bude moci nabízet lokálně své investiční produkty a služby retailovým klientům a správu aktiv institucionálním klientům. Pomůže tak rozšířit nabídku investičních příležitostí na domácím trhu, zlepšit klientskou finanční kondici a připravenost na důchod.</w:t>
      </w:r>
    </w:p>
    <w:p w14:paraId="7315EF73" w14:textId="77777777" w:rsidR="00770E04" w:rsidRPr="00770E04" w:rsidRDefault="00770E04" w:rsidP="00770E04">
      <w:pPr>
        <w:spacing w:after="240" w:line="360" w:lineRule="auto"/>
        <w:rPr>
          <w:color w:val="000000" w:themeColor="text1"/>
        </w:rPr>
      </w:pPr>
      <w:r w:rsidRPr="00770E04">
        <w:rPr>
          <w:color w:val="000000" w:themeColor="text1"/>
        </w:rPr>
        <w:t xml:space="preserve">Čínský trh dlouhodobě představuje pro společnost </w:t>
      </w:r>
      <w:proofErr w:type="spellStart"/>
      <w:r w:rsidRPr="00770E04">
        <w:rPr>
          <w:color w:val="000000" w:themeColor="text1"/>
        </w:rPr>
        <w:t>Fidelity</w:t>
      </w:r>
      <w:proofErr w:type="spellEnd"/>
      <w:r w:rsidRPr="00770E04">
        <w:rPr>
          <w:color w:val="000000" w:themeColor="text1"/>
        </w:rPr>
        <w:t xml:space="preserve"> International strategickou prioritu a aktivně na něm investuje již více než 20 let. Od roku 2004 vybudovala společnost </w:t>
      </w:r>
      <w:proofErr w:type="spellStart"/>
      <w:r w:rsidRPr="00770E04">
        <w:rPr>
          <w:color w:val="000000" w:themeColor="text1"/>
        </w:rPr>
        <w:t>Fidelity</w:t>
      </w:r>
      <w:proofErr w:type="spellEnd"/>
      <w:r w:rsidRPr="00770E04">
        <w:rPr>
          <w:color w:val="000000" w:themeColor="text1"/>
        </w:rPr>
        <w:t xml:space="preserve"> tři pobočky v Šanghaji, </w:t>
      </w:r>
      <w:proofErr w:type="spellStart"/>
      <w:r w:rsidRPr="00770E04">
        <w:rPr>
          <w:color w:val="000000" w:themeColor="text1"/>
        </w:rPr>
        <w:t>Dalianu</w:t>
      </w:r>
      <w:proofErr w:type="spellEnd"/>
      <w:r w:rsidRPr="00770E04">
        <w:rPr>
          <w:color w:val="000000" w:themeColor="text1"/>
        </w:rPr>
        <w:t xml:space="preserve"> a Pekingu a dnes má v Číně více než 1 900 zaměstnanců. V rámci předchozího schématu kvalifikovaných zahraničních institucionálních investorů (QFII) získala společnost </w:t>
      </w:r>
      <w:proofErr w:type="spellStart"/>
      <w:r w:rsidRPr="00770E04">
        <w:rPr>
          <w:color w:val="000000" w:themeColor="text1"/>
        </w:rPr>
        <w:t>Fidelity</w:t>
      </w:r>
      <w:proofErr w:type="spellEnd"/>
      <w:r w:rsidRPr="00770E04">
        <w:rPr>
          <w:color w:val="000000" w:themeColor="text1"/>
        </w:rPr>
        <w:t xml:space="preserve"> kvótu ve výši 1,2 miliardy USD, což je jeden z největších limitů všech správců fondů. V lednu 2017 se společnost </w:t>
      </w:r>
      <w:proofErr w:type="spellStart"/>
      <w:r w:rsidRPr="00770E04">
        <w:rPr>
          <w:color w:val="000000" w:themeColor="text1"/>
        </w:rPr>
        <w:t>Fidelity</w:t>
      </w:r>
      <w:proofErr w:type="spellEnd"/>
      <w:r w:rsidRPr="00770E04">
        <w:rPr>
          <w:color w:val="000000" w:themeColor="text1"/>
        </w:rPr>
        <w:t xml:space="preserve"> jako první globální správce aktiv zaregistrovala u Čínské asociace pro správu aktiv (AMAC) jako společnost pro správu soukromých fondů (PFM). </w:t>
      </w:r>
    </w:p>
    <w:p w14:paraId="5FA231A7" w14:textId="77777777" w:rsidR="00770E04" w:rsidRPr="00770E04" w:rsidRDefault="00770E04" w:rsidP="00770E04">
      <w:pPr>
        <w:spacing w:after="240" w:line="360" w:lineRule="auto"/>
        <w:rPr>
          <w:color w:val="000000" w:themeColor="text1"/>
        </w:rPr>
      </w:pPr>
      <w:r w:rsidRPr="00770E04">
        <w:rPr>
          <w:color w:val="000000" w:themeColor="text1"/>
        </w:rPr>
        <w:t xml:space="preserve">Základem investiční filozofie společnosti </w:t>
      </w:r>
      <w:proofErr w:type="spellStart"/>
      <w:r w:rsidRPr="00770E04">
        <w:rPr>
          <w:color w:val="000000" w:themeColor="text1"/>
        </w:rPr>
        <w:t>Fidelity</w:t>
      </w:r>
      <w:proofErr w:type="spellEnd"/>
      <w:r w:rsidRPr="00770E04">
        <w:rPr>
          <w:color w:val="000000" w:themeColor="text1"/>
        </w:rPr>
        <w:t xml:space="preserve"> je fundamentální tržní analýza, díky níž si udržuje odborné know-how v oblasti akcií, dluhopisů i ostatních tříd aktiv, přičemž do svého investičního procesu důsledně integruje analýzu ESG.</w:t>
      </w:r>
    </w:p>
    <w:p w14:paraId="110C6EDD" w14:textId="2505BF98" w:rsidR="00770E04" w:rsidRPr="00770E04" w:rsidRDefault="00770E04" w:rsidP="00770E04">
      <w:pPr>
        <w:spacing w:after="240" w:line="360" w:lineRule="auto"/>
        <w:rPr>
          <w:i/>
          <w:iCs/>
          <w:color w:val="000000" w:themeColor="text1"/>
        </w:rPr>
      </w:pPr>
      <w:proofErr w:type="spellStart"/>
      <w:r w:rsidRPr="00770E04">
        <w:rPr>
          <w:b/>
          <w:bCs/>
          <w:color w:val="000000" w:themeColor="text1"/>
        </w:rPr>
        <w:t>Rajeev</w:t>
      </w:r>
      <w:proofErr w:type="spellEnd"/>
      <w:r w:rsidRPr="00770E04">
        <w:rPr>
          <w:b/>
          <w:bCs/>
          <w:color w:val="000000" w:themeColor="text1"/>
        </w:rPr>
        <w:t xml:space="preserve"> Mittal, výkonný ředitel společnosti </w:t>
      </w:r>
      <w:proofErr w:type="spellStart"/>
      <w:r w:rsidRPr="00770E04">
        <w:rPr>
          <w:b/>
          <w:bCs/>
          <w:color w:val="000000" w:themeColor="text1"/>
        </w:rPr>
        <w:t>Fidelity</w:t>
      </w:r>
      <w:proofErr w:type="spellEnd"/>
      <w:r w:rsidRPr="00770E04">
        <w:rPr>
          <w:b/>
          <w:bCs/>
          <w:color w:val="000000" w:themeColor="text1"/>
        </w:rPr>
        <w:t xml:space="preserve"> International pro Asii a Tichomoří mimo Japonsko</w:t>
      </w:r>
      <w:r w:rsidRPr="00770E04">
        <w:rPr>
          <w:color w:val="000000" w:themeColor="text1"/>
        </w:rPr>
        <w:t xml:space="preserve">, k tomu říká: </w:t>
      </w:r>
      <w:r w:rsidRPr="00770E04">
        <w:rPr>
          <w:i/>
          <w:iCs/>
          <w:color w:val="000000" w:themeColor="text1"/>
        </w:rPr>
        <w:t xml:space="preserve">"Jsme nadšeni, že jsme obdrželi souhlas a podporu CSRC pro činnost našich podílových fondů v Číně. Nyní se budeme těšit na poskytování prvotřídních investičních služeb a produktů čínským investorům, přičemž využijeme to nejlepší z rozsáhlých globálních zkušeností a schopností společnosti </w:t>
      </w:r>
      <w:proofErr w:type="spellStart"/>
      <w:r w:rsidRPr="00770E04">
        <w:rPr>
          <w:i/>
          <w:iCs/>
          <w:color w:val="000000" w:themeColor="text1"/>
        </w:rPr>
        <w:t>Fidelity</w:t>
      </w:r>
      <w:proofErr w:type="spellEnd"/>
      <w:r w:rsidRPr="00770E04">
        <w:rPr>
          <w:i/>
          <w:iCs/>
          <w:color w:val="000000" w:themeColor="text1"/>
        </w:rPr>
        <w:t xml:space="preserve"> International. Jako nezávislá, neobchodovaná společnost se zaměřením </w:t>
      </w:r>
      <w:r w:rsidRPr="00770E04">
        <w:rPr>
          <w:i/>
          <w:iCs/>
          <w:color w:val="000000" w:themeColor="text1"/>
        </w:rPr>
        <w:lastRenderedPageBreak/>
        <w:t>na dlouhodobě udržitelné výsledky také doufáme, že budeme hrát významnou roli v rozvoji rychle rostoucího odvětví správy aktiv v Číně."</w:t>
      </w:r>
    </w:p>
    <w:p w14:paraId="6894039B" w14:textId="77777777" w:rsidR="00770E04" w:rsidRPr="00770E04" w:rsidRDefault="00770E04" w:rsidP="00770E04">
      <w:pPr>
        <w:spacing w:after="240" w:line="360" w:lineRule="auto"/>
        <w:rPr>
          <w:i/>
          <w:iCs/>
        </w:rPr>
      </w:pPr>
      <w:r w:rsidRPr="00770E04">
        <w:rPr>
          <w:b/>
          <w:bCs/>
        </w:rPr>
        <w:t xml:space="preserve">Helen </w:t>
      </w:r>
      <w:proofErr w:type="spellStart"/>
      <w:r w:rsidRPr="00770E04">
        <w:rPr>
          <w:b/>
          <w:bCs/>
        </w:rPr>
        <w:t>Huangová</w:t>
      </w:r>
      <w:proofErr w:type="spellEnd"/>
      <w:r w:rsidRPr="00770E04">
        <w:rPr>
          <w:b/>
          <w:bCs/>
        </w:rPr>
        <w:t xml:space="preserve">, generální ředitelka společnosti FIL </w:t>
      </w:r>
      <w:proofErr w:type="spellStart"/>
      <w:r w:rsidRPr="00770E04">
        <w:rPr>
          <w:b/>
          <w:bCs/>
        </w:rPr>
        <w:t>Fund</w:t>
      </w:r>
      <w:proofErr w:type="spellEnd"/>
      <w:r w:rsidRPr="00770E04">
        <w:rPr>
          <w:b/>
          <w:bCs/>
        </w:rPr>
        <w:t xml:space="preserve"> Management (</w:t>
      </w:r>
      <w:proofErr w:type="spellStart"/>
      <w:r w:rsidRPr="00770E04">
        <w:rPr>
          <w:b/>
          <w:bCs/>
        </w:rPr>
        <w:t>China</w:t>
      </w:r>
      <w:proofErr w:type="spellEnd"/>
      <w:r w:rsidRPr="00770E04">
        <w:rPr>
          <w:b/>
          <w:bCs/>
        </w:rPr>
        <w:t xml:space="preserve">) </w:t>
      </w:r>
      <w:proofErr w:type="spellStart"/>
      <w:r w:rsidRPr="00770E04">
        <w:rPr>
          <w:b/>
          <w:bCs/>
        </w:rPr>
        <w:t>Company</w:t>
      </w:r>
      <w:proofErr w:type="spellEnd"/>
      <w:r w:rsidRPr="00770E04">
        <w:t xml:space="preserve">, uvádí: </w:t>
      </w:r>
      <w:r w:rsidRPr="00770E04">
        <w:rPr>
          <w:i/>
          <w:iCs/>
        </w:rPr>
        <w:t>"Naším cílem je vybudovat v Číně diverzifikovaného poskytovatele finančních služeb se silnou pozicí v oblasti penzí a správy aktiv. Věříme, že díky našim globálním investičním zkušenostem a lokálně specializovanému týmu máme dobrou pozici na to, abychom porozuměli jedinečným potřebám domácích klientů a zprostředkovali jim nejlepší investiční příležitosti na trhu. Díky nově založené společnosti budeme moci nabízet diverzifikované investiční služby širší skupině domácích investorů, abychom uspokojili jejich investiční a penzijní potřeby."</w:t>
      </w:r>
    </w:p>
    <w:p w14:paraId="5B0A755F" w14:textId="297B30AC" w:rsidR="00725052" w:rsidRPr="00BC4EF0" w:rsidRDefault="00725052" w:rsidP="00725052">
      <w:pPr>
        <w:spacing w:line="240" w:lineRule="auto"/>
      </w:pPr>
      <w:r w:rsidRPr="00455A3C">
        <w:rPr>
          <w:b/>
        </w:rPr>
        <w:t>Pro více informací kontaktujte:</w:t>
      </w:r>
    </w:p>
    <w:p w14:paraId="3B45AF67" w14:textId="77777777" w:rsidR="00725052" w:rsidRPr="00455A3C" w:rsidRDefault="00725052" w:rsidP="00725052">
      <w:pPr>
        <w:spacing w:before="0" w:line="360" w:lineRule="auto"/>
        <w:rPr>
          <w:b/>
        </w:rPr>
      </w:pPr>
    </w:p>
    <w:p w14:paraId="7B66DFDA" w14:textId="77777777" w:rsidR="00725052" w:rsidRDefault="00725052" w:rsidP="00725052">
      <w:pPr>
        <w:spacing w:before="0" w:line="240" w:lineRule="atLeast"/>
        <w:rPr>
          <w:b/>
        </w:rPr>
      </w:pPr>
      <w:r>
        <w:rPr>
          <w:b/>
        </w:rPr>
        <w:t>Eliška Krohová</w:t>
      </w:r>
    </w:p>
    <w:p w14:paraId="34A69B71" w14:textId="77777777" w:rsidR="00725052" w:rsidRPr="00455A3C" w:rsidRDefault="00725052" w:rsidP="00725052">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725052">
      <w:pPr>
        <w:spacing w:before="0" w:line="240" w:lineRule="atLeast"/>
      </w:pPr>
    </w:p>
    <w:p w14:paraId="5BFDE25D" w14:textId="77777777" w:rsidR="00725052" w:rsidRPr="00455A3C" w:rsidRDefault="00725052" w:rsidP="00725052">
      <w:pPr>
        <w:spacing w:before="0" w:line="240" w:lineRule="atLeast"/>
      </w:pPr>
      <w:r w:rsidRPr="00455A3C">
        <w:t>Ostrovní 126/30</w:t>
      </w:r>
    </w:p>
    <w:p w14:paraId="35E1E439" w14:textId="77777777" w:rsidR="00725052" w:rsidRPr="00455A3C" w:rsidRDefault="00725052" w:rsidP="00725052">
      <w:pPr>
        <w:spacing w:before="0" w:line="240" w:lineRule="atLeast"/>
      </w:pPr>
      <w:r w:rsidRPr="00455A3C">
        <w:t>110 00 Praha 1</w:t>
      </w:r>
    </w:p>
    <w:p w14:paraId="35FD41C3" w14:textId="77777777" w:rsidR="00725052" w:rsidRPr="00455A3C" w:rsidRDefault="00725052" w:rsidP="00725052">
      <w:pPr>
        <w:spacing w:before="0" w:line="240" w:lineRule="atLeast"/>
      </w:pPr>
      <w:proofErr w:type="spellStart"/>
      <w:r>
        <w:t>gsm</w:t>
      </w:r>
      <w:proofErr w:type="spellEnd"/>
      <w:r>
        <w:t>: + 420 720 406 659</w:t>
      </w:r>
    </w:p>
    <w:p w14:paraId="4FD0B4A0" w14:textId="77777777" w:rsidR="000E2910" w:rsidRDefault="00725052" w:rsidP="005A5AB1">
      <w:pPr>
        <w:spacing w:before="0" w:line="240" w:lineRule="atLeast"/>
        <w:rPr>
          <w:rStyle w:val="Hypertextovodkaz"/>
        </w:rPr>
      </w:pPr>
      <w:r w:rsidRPr="00455A3C">
        <w:rPr>
          <w:color w:val="000000"/>
        </w:rPr>
        <w:t xml:space="preserve">e-mail: </w:t>
      </w:r>
      <w:hyperlink r:id="rId9" w:history="1">
        <w:r w:rsidRPr="00E23FD4">
          <w:rPr>
            <w:rStyle w:val="Hypertextovodkaz"/>
          </w:rPr>
          <w:t>eliska.krohova@crestcom.cz</w:t>
        </w:r>
      </w:hyperlink>
    </w:p>
    <w:p w14:paraId="14AE2F5A" w14:textId="77777777" w:rsidR="005A5AB1" w:rsidRPr="005A5AB1" w:rsidRDefault="005A5AB1" w:rsidP="005A5AB1">
      <w:pPr>
        <w:pStyle w:val="F2-zkladn"/>
      </w:pPr>
    </w:p>
    <w:p w14:paraId="795B3F46"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60D39360" w14:textId="4CACBD8F" w:rsidR="009475A6" w:rsidRPr="00770E04" w:rsidRDefault="00D404D5" w:rsidP="00770E04">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424771">
      <w:pPr>
        <w:pStyle w:val="F2-zkladn"/>
        <w:rPr>
          <w:b/>
          <w:bCs/>
        </w:rPr>
      </w:pPr>
      <w:r w:rsidRPr="00424771">
        <w:rPr>
          <w:b/>
          <w:bCs/>
        </w:rPr>
        <w:t>Důležité upozornění</w:t>
      </w:r>
    </w:p>
    <w:p w14:paraId="433960A8" w14:textId="77777777" w:rsidR="00424771" w:rsidRDefault="00424771" w:rsidP="00424771">
      <w:pPr>
        <w:pStyle w:val="F2-zkladn"/>
      </w:pPr>
      <w:r>
        <w:t>Toto je propagační materiál. Tento dokument nesmí být bez předchozího souhlasu rozmnožován nebo rozšiřován.</w:t>
      </w:r>
    </w:p>
    <w:p w14:paraId="0B3DEE37" w14:textId="77777777" w:rsidR="00424771" w:rsidRDefault="00424771" w:rsidP="00424771">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424771">
      <w:pPr>
        <w:pStyle w:val="F2-zkladn"/>
      </w:pPr>
      <w:r>
        <w:lastRenderedPageBreak/>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424771">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424771">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424771">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424771">
      <w:pPr>
        <w:pStyle w:val="F2-zkladn"/>
      </w:pPr>
      <w:r>
        <w:t>Minulá výkonnost není spolehlivým ukazatelem budoucích výsledků.</w:t>
      </w:r>
    </w:p>
    <w:p w14:paraId="5443331B" w14:textId="77777777" w:rsidR="00424771" w:rsidRDefault="00424771" w:rsidP="00424771">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424771">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0C902663" w14:textId="0538394B" w:rsidR="00B42703" w:rsidRPr="00E667B4" w:rsidRDefault="00770E04" w:rsidP="00770E04">
      <w:pPr>
        <w:pStyle w:val="F2-zkladn"/>
      </w:pPr>
      <w:r w:rsidRPr="00770E04">
        <w:t>MKAT11094</w:t>
      </w:r>
    </w:p>
    <w:sectPr w:rsidR="00B42703" w:rsidRPr="00E667B4"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7E11" w14:textId="77777777" w:rsidR="00252AD2" w:rsidRDefault="00252AD2">
      <w:r>
        <w:separator/>
      </w:r>
    </w:p>
  </w:endnote>
  <w:endnote w:type="continuationSeparator" w:id="0">
    <w:p w14:paraId="29155770" w14:textId="77777777" w:rsidR="00252AD2" w:rsidRDefault="0025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D233" w14:textId="77777777" w:rsidR="00252AD2" w:rsidRDefault="00252AD2">
      <w:r>
        <w:separator/>
      </w:r>
    </w:p>
  </w:footnote>
  <w:footnote w:type="continuationSeparator" w:id="0">
    <w:p w14:paraId="0E6AFBDB" w14:textId="77777777" w:rsidR="00252AD2" w:rsidRDefault="00252AD2">
      <w:r>
        <w:continuationSeparator/>
      </w:r>
    </w:p>
  </w:footnote>
  <w:footnote w:type="continuationNotice" w:id="1">
    <w:p w14:paraId="4EFCAAEF" w14:textId="77777777" w:rsidR="00252AD2" w:rsidRDefault="00252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9591610">
    <w:abstractNumId w:val="14"/>
  </w:num>
  <w:num w:numId="2" w16cid:durableId="981547291">
    <w:abstractNumId w:val="20"/>
  </w:num>
  <w:num w:numId="3" w16cid:durableId="1580748266">
    <w:abstractNumId w:val="22"/>
  </w:num>
  <w:num w:numId="4" w16cid:durableId="35786323">
    <w:abstractNumId w:val="16"/>
  </w:num>
  <w:num w:numId="5" w16cid:durableId="186137262">
    <w:abstractNumId w:val="17"/>
  </w:num>
  <w:num w:numId="6" w16cid:durableId="1823621058">
    <w:abstractNumId w:val="15"/>
  </w:num>
  <w:num w:numId="7" w16cid:durableId="1134952927">
    <w:abstractNumId w:val="21"/>
  </w:num>
  <w:num w:numId="8" w16cid:durableId="47341526">
    <w:abstractNumId w:val="18"/>
  </w:num>
  <w:num w:numId="9" w16cid:durableId="1996642761">
    <w:abstractNumId w:val="8"/>
  </w:num>
  <w:num w:numId="10" w16cid:durableId="923145308">
    <w:abstractNumId w:val="3"/>
  </w:num>
  <w:num w:numId="11" w16cid:durableId="487134855">
    <w:abstractNumId w:val="2"/>
  </w:num>
  <w:num w:numId="12" w16cid:durableId="1921325245">
    <w:abstractNumId w:val="1"/>
  </w:num>
  <w:num w:numId="13" w16cid:durableId="1988825935">
    <w:abstractNumId w:val="0"/>
  </w:num>
  <w:num w:numId="14" w16cid:durableId="177696042">
    <w:abstractNumId w:val="11"/>
  </w:num>
  <w:num w:numId="15" w16cid:durableId="7147476">
    <w:abstractNumId w:val="9"/>
  </w:num>
  <w:num w:numId="16" w16cid:durableId="186255182">
    <w:abstractNumId w:val="7"/>
  </w:num>
  <w:num w:numId="17" w16cid:durableId="1483156929">
    <w:abstractNumId w:val="6"/>
  </w:num>
  <w:num w:numId="18" w16cid:durableId="429354121">
    <w:abstractNumId w:val="5"/>
  </w:num>
  <w:num w:numId="19" w16cid:durableId="1231696368">
    <w:abstractNumId w:val="4"/>
  </w:num>
  <w:num w:numId="20" w16cid:durableId="2039238186">
    <w:abstractNumId w:val="13"/>
  </w:num>
  <w:num w:numId="21" w16cid:durableId="1696150757">
    <w:abstractNumId w:val="19"/>
  </w:num>
  <w:num w:numId="22" w16cid:durableId="2090887304">
    <w:abstractNumId w:val="12"/>
  </w:num>
  <w:num w:numId="23" w16cid:durableId="95841695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522"/>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2E96"/>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AD2"/>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014"/>
    <w:rsid w:val="0029073F"/>
    <w:rsid w:val="00291676"/>
    <w:rsid w:val="00291AD1"/>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44D0"/>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68C0"/>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0E04"/>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3EDF"/>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84B"/>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475A6"/>
    <w:rsid w:val="00950C28"/>
    <w:rsid w:val="00951993"/>
    <w:rsid w:val="00953E57"/>
    <w:rsid w:val="00954CC0"/>
    <w:rsid w:val="00955C25"/>
    <w:rsid w:val="00956BB5"/>
    <w:rsid w:val="00956EE1"/>
    <w:rsid w:val="00957676"/>
    <w:rsid w:val="009621B2"/>
    <w:rsid w:val="00963A1A"/>
    <w:rsid w:val="00964590"/>
    <w:rsid w:val="0096654A"/>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343"/>
    <w:rsid w:val="00B708E8"/>
    <w:rsid w:val="00B7404A"/>
    <w:rsid w:val="00B75AC6"/>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96B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7039</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8216</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2023-01-05T11:32:00Z</dcterms:created>
  <dcterms:modified xsi:type="dcterms:W3CDTF">2023-01-05T11:32:00Z</dcterms:modified>
</cp:coreProperties>
</file>